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EA71" w14:textId="07779FA2" w:rsidR="00121068" w:rsidRDefault="00121068" w:rsidP="00121068">
      <w:pPr>
        <w:spacing w:before="400" w:after="0" w:line="240" w:lineRule="auto"/>
        <w:jc w:val="center"/>
        <w:rPr>
          <w:rFonts w:ascii="Trebuchet MS" w:eastAsiaTheme="minorEastAsia" w:hAnsi="Trebuchet MS"/>
          <w:b/>
          <w:bCs/>
          <w:iCs/>
          <w:color w:val="000000" w:themeColor="text1"/>
          <w:kern w:val="24"/>
          <w:sz w:val="28"/>
          <w:szCs w:val="28"/>
          <w14:textOutline w14:w="9525" w14:cap="rnd" w14:cmpd="sng" w14:algn="ctr">
            <w14:solidFill>
              <w14:srgbClr w14:val="000000"/>
            </w14:solidFill>
            <w14:prstDash w14:val="solid"/>
            <w14:bevel/>
          </w14:textOutline>
        </w:rPr>
      </w:pPr>
      <w:r w:rsidRPr="003E4082">
        <w:rPr>
          <w:rFonts w:ascii="Trebuchet MS" w:eastAsiaTheme="minorEastAsia" w:hAnsi="Trebuchet MS"/>
          <w:b/>
          <w:bCs/>
          <w:iCs/>
          <w:color w:val="000000" w:themeColor="text1"/>
          <w:kern w:val="24"/>
          <w:sz w:val="28"/>
          <w:szCs w:val="28"/>
          <w14:textOutline w14:w="9525" w14:cap="rnd" w14:cmpd="sng" w14:algn="ctr">
            <w14:solidFill>
              <w14:srgbClr w14:val="000000"/>
            </w14:solidFill>
            <w14:prstDash w14:val="solid"/>
            <w14:bevel/>
          </w14:textOutline>
        </w:rPr>
        <w:t>10 Everyday Things You Can Do To Eliminate Gender-Based Violence</w:t>
      </w:r>
    </w:p>
    <w:p w14:paraId="1333BEFB" w14:textId="77777777" w:rsidR="003E4082" w:rsidRPr="003E4082" w:rsidRDefault="003E4082" w:rsidP="00121068">
      <w:pPr>
        <w:spacing w:before="400" w:after="0" w:line="240" w:lineRule="auto"/>
        <w:jc w:val="center"/>
        <w:rPr>
          <w:rFonts w:ascii="Trebuchet MS" w:eastAsiaTheme="minorEastAsia" w:hAnsi="Trebuchet MS"/>
          <w:b/>
          <w:bCs/>
          <w:iCs/>
          <w:color w:val="000000" w:themeColor="text1"/>
          <w:kern w:val="24"/>
          <w:sz w:val="28"/>
          <w:szCs w:val="28"/>
          <w14:textOutline w14:w="9525" w14:cap="rnd" w14:cmpd="sng" w14:algn="ctr">
            <w14:solidFill>
              <w14:srgbClr w14:val="000000"/>
            </w14:solidFill>
            <w14:prstDash w14:val="solid"/>
            <w14:bevel/>
          </w14:textOutline>
        </w:rPr>
      </w:pPr>
    </w:p>
    <w:p w14:paraId="4C433391"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Consider the importance of language</w:t>
      </w:r>
      <w:r w:rsidRPr="001E73AD">
        <w:rPr>
          <w:rFonts w:ascii="Trebuchet MS" w:hAnsi="Trebuchet MS"/>
          <w:color w:val="0E101A"/>
          <w:sz w:val="28"/>
          <w:szCs w:val="28"/>
        </w:rPr>
        <w:t>.</w:t>
      </w:r>
    </w:p>
    <w:p w14:paraId="491E0E1A" w14:textId="77777777" w:rsidR="00BF56AA" w:rsidRPr="001E73AD" w:rsidRDefault="00BF56AA" w:rsidP="00BF56AA">
      <w:pPr>
        <w:pStyle w:val="ql-indent-1"/>
        <w:numPr>
          <w:ilvl w:val="1"/>
          <w:numId w:val="18"/>
        </w:numPr>
        <w:spacing w:before="0" w:beforeAutospacing="0" w:after="0" w:afterAutospacing="0"/>
        <w:rPr>
          <w:rFonts w:ascii="Trebuchet MS" w:hAnsi="Trebuchet MS"/>
          <w:color w:val="0E101A"/>
          <w:sz w:val="28"/>
          <w:szCs w:val="28"/>
        </w:rPr>
      </w:pPr>
      <w:r w:rsidRPr="001E73AD">
        <w:rPr>
          <w:rFonts w:ascii="Trebuchet MS" w:hAnsi="Trebuchet MS"/>
          <w:color w:val="0E101A"/>
          <w:sz w:val="28"/>
          <w:szCs w:val="28"/>
        </w:rPr>
        <w:t>Challenge language that silences or denies women access to their sexuality.</w:t>
      </w:r>
    </w:p>
    <w:p w14:paraId="210FDFC7" w14:textId="77777777" w:rsidR="00BF56AA" w:rsidRPr="001E73AD" w:rsidRDefault="00BF56AA" w:rsidP="00BF56AA">
      <w:pPr>
        <w:pStyle w:val="ql-indent-1"/>
        <w:numPr>
          <w:ilvl w:val="1"/>
          <w:numId w:val="18"/>
        </w:numPr>
        <w:spacing w:before="0" w:beforeAutospacing="0" w:after="0" w:afterAutospacing="0"/>
        <w:rPr>
          <w:rFonts w:ascii="Trebuchet MS" w:hAnsi="Trebuchet MS"/>
          <w:color w:val="0E101A"/>
          <w:sz w:val="28"/>
          <w:szCs w:val="28"/>
        </w:rPr>
      </w:pPr>
      <w:r w:rsidRPr="001E73AD">
        <w:rPr>
          <w:rFonts w:ascii="Trebuchet MS" w:hAnsi="Trebuchet MS"/>
          <w:color w:val="0E101A"/>
          <w:sz w:val="28"/>
          <w:szCs w:val="28"/>
        </w:rPr>
        <w:t>Stop using homophobic and feminizing slurs to reinforce problematic notions of masculinity. These degradations work to police gender expression and perpetuate sexism, homophobia, and transphobia. </w:t>
      </w:r>
    </w:p>
    <w:p w14:paraId="79089115" w14:textId="46F76FD8"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58B2D0E2"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Interrupt sexist jokes, attitudes, and norms.</w:t>
      </w:r>
      <w:r w:rsidRPr="001E73AD">
        <w:rPr>
          <w:rFonts w:ascii="Trebuchet MS" w:hAnsi="Trebuchet MS"/>
          <w:color w:val="0E101A"/>
          <w:sz w:val="28"/>
          <w:szCs w:val="28"/>
        </w:rPr>
        <w:t> Norms are standards/unspoken rules that are socially enforced and provide a model for behavior. Gender-based violence will not end unless the prevailing norms and acceptance of gender-based violence are challenged and changed.</w:t>
      </w:r>
    </w:p>
    <w:p w14:paraId="5F044A7D" w14:textId="1D8A9E31"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42AA75D3"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Interrupt racist, homophobic, transphobic, xenophobic, etc., jokes, attitudes, and norms.</w:t>
      </w:r>
      <w:r w:rsidRPr="001E73AD">
        <w:rPr>
          <w:rFonts w:ascii="Trebuchet MS" w:hAnsi="Trebuchet MS"/>
          <w:color w:val="0E101A"/>
          <w:sz w:val="28"/>
          <w:szCs w:val="28"/>
        </w:rPr>
        <w:t> All oppression is connected. The norms that allow gender-based violence to continue also allow hate speech and crimes. </w:t>
      </w:r>
    </w:p>
    <w:p w14:paraId="20770662" w14:textId="69E386C7"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113C9234"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Challenge victim blaming beliefs and statements.</w:t>
      </w:r>
      <w:r w:rsidRPr="001E73AD">
        <w:rPr>
          <w:rFonts w:ascii="Trebuchet MS" w:hAnsi="Trebuchet MS"/>
          <w:color w:val="0E101A"/>
          <w:sz w:val="28"/>
          <w:szCs w:val="28"/>
        </w:rPr>
        <w:t> Shift the conversation away from “How’d they let that happen?” and “Why don’t they just leave?” and instead ask questions like “Why did the perpetrator think it was okay to commit this act of violence?</w:t>
      </w:r>
    </w:p>
    <w:p w14:paraId="5BC19BFF" w14:textId="58B67D59"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2D8A6DF0"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Believe victims/survivors when they share their stories.</w:t>
      </w:r>
      <w:r w:rsidRPr="001E73AD">
        <w:rPr>
          <w:rFonts w:ascii="Trebuchet MS" w:hAnsi="Trebuchet MS"/>
          <w:color w:val="0E101A"/>
          <w:sz w:val="28"/>
          <w:szCs w:val="28"/>
        </w:rPr>
        <w:t> Victims/survivors face countless obstacles to reporting, which is why the vast majority of incidents go unreported. Fear of not being believed should never be one of them. </w:t>
      </w:r>
    </w:p>
    <w:p w14:paraId="32A86409" w14:textId="6BF39F3D"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01126A91"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Practice obtaining affirmative consent when choosing to be sexually active and beyond.</w:t>
      </w:r>
      <w:r w:rsidRPr="001E73AD">
        <w:rPr>
          <w:rFonts w:ascii="Trebuchet MS" w:hAnsi="Trebuchet MS"/>
          <w:color w:val="0E101A"/>
          <w:sz w:val="28"/>
          <w:szCs w:val="28"/>
        </w:rPr>
        <w:t> Communicate with your partner(s). We all know to obtain consent when making everyday requests like “Want to meet up for lunch?” or “Can I have your Netflix password?” Why should our expectations be any different when it comes to sex?</w:t>
      </w:r>
    </w:p>
    <w:p w14:paraId="3A8EE01E" w14:textId="7C30D42D"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1638B585"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Recognize how internalized oppression impacts you. </w:t>
      </w:r>
      <w:r w:rsidRPr="001E73AD">
        <w:rPr>
          <w:rFonts w:ascii="Trebuchet MS" w:hAnsi="Trebuchet MS"/>
          <w:color w:val="0E101A"/>
          <w:sz w:val="28"/>
          <w:szCs w:val="28"/>
        </w:rPr>
        <w:t>No one is born sexist, racist, ableist, etc. Through observing, learning, and understanding society, we come to hold common attitudes and beliefs, including oppressive ones. Oppressive messages become a part of how we think about and perceive others and how we think about and perceive ourselves. </w:t>
      </w:r>
    </w:p>
    <w:p w14:paraId="18986D5C" w14:textId="7848CDA3"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2AA8252F" w14:textId="1C05D9D5"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0FA74FD9" w14:textId="77777777" w:rsidR="00BF56AA" w:rsidRPr="001E73AD"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lastRenderedPageBreak/>
        <w:t>Don’t pressure people</w:t>
      </w:r>
      <w:r w:rsidRPr="001E73AD">
        <w:rPr>
          <w:rFonts w:ascii="Trebuchet MS" w:hAnsi="Trebuchet MS"/>
          <w:color w:val="0E101A"/>
          <w:sz w:val="28"/>
          <w:szCs w:val="28"/>
        </w:rPr>
        <w:t>, regardless of the matter or your intent. Many of us are desensitized to applying and receiving pressure. We often pressure people into doing everyday things they don’t want to do, like sharing notes with someone who never shows up to class. When we apply this type of pressure, we’re normalizing the act altogether. Normalizing pressure is a part of the system that allows gender-based violence to continue.</w:t>
      </w:r>
    </w:p>
    <w:p w14:paraId="20AEEE28" w14:textId="27827E59" w:rsidR="00BF56AA" w:rsidRPr="001E73AD" w:rsidRDefault="00BF56AA" w:rsidP="00BF56AA">
      <w:pPr>
        <w:pStyle w:val="NormalWeb"/>
        <w:spacing w:before="0" w:beforeAutospacing="0" w:after="0" w:afterAutospacing="0"/>
        <w:ind w:firstLine="60"/>
        <w:rPr>
          <w:rFonts w:ascii="Trebuchet MS" w:hAnsi="Trebuchet MS"/>
          <w:color w:val="0E101A"/>
          <w:sz w:val="28"/>
          <w:szCs w:val="28"/>
        </w:rPr>
      </w:pPr>
    </w:p>
    <w:p w14:paraId="71F34274" w14:textId="4C1459C2" w:rsidR="00BF56AA" w:rsidRDefault="00BF56AA" w:rsidP="00BF56AA">
      <w:pPr>
        <w:numPr>
          <w:ilvl w:val="0"/>
          <w:numId w:val="17"/>
        </w:numPr>
        <w:spacing w:after="0" w:line="240" w:lineRule="auto"/>
        <w:rPr>
          <w:rFonts w:ascii="Trebuchet MS" w:hAnsi="Trebuchet MS"/>
          <w:color w:val="0E101A"/>
          <w:sz w:val="28"/>
          <w:szCs w:val="28"/>
        </w:rPr>
      </w:pPr>
      <w:r w:rsidRPr="001E73AD">
        <w:rPr>
          <w:rStyle w:val="Strong"/>
          <w:rFonts w:ascii="Trebuchet MS" w:hAnsi="Trebuchet MS"/>
          <w:color w:val="0E101A"/>
          <w:sz w:val="28"/>
          <w:szCs w:val="28"/>
        </w:rPr>
        <w:t>Be a critical consumer.</w:t>
      </w:r>
      <w:r w:rsidRPr="001E73AD">
        <w:rPr>
          <w:rFonts w:ascii="Trebuchet MS" w:hAnsi="Trebuchet MS"/>
          <w:color w:val="0E101A"/>
          <w:sz w:val="28"/>
          <w:szCs w:val="28"/>
        </w:rPr>
        <w:t> Sexism and cissexism sell because it’s what we’re being sold. Choose not to fund it. Refuse to support or purchase any magazine, television show, film, or music that portrays girls, women, or gender non-conforming people in a degrading or abusive manner. </w:t>
      </w:r>
    </w:p>
    <w:p w14:paraId="52C5F264" w14:textId="77777777" w:rsidR="001E73AD" w:rsidRDefault="001E73AD" w:rsidP="001E73AD">
      <w:pPr>
        <w:rPr>
          <w:rStyle w:val="Strong"/>
          <w:rFonts w:ascii="Trebuchet MS" w:hAnsi="Trebuchet MS"/>
          <w:color w:val="0E101A"/>
          <w:sz w:val="28"/>
          <w:szCs w:val="28"/>
        </w:rPr>
      </w:pPr>
    </w:p>
    <w:p w14:paraId="0822A4C3" w14:textId="1286A71E" w:rsidR="001E73AD" w:rsidRPr="001E73AD" w:rsidRDefault="001E73AD" w:rsidP="001E73AD">
      <w:pPr>
        <w:pStyle w:val="ListParagraph"/>
        <w:numPr>
          <w:ilvl w:val="0"/>
          <w:numId w:val="17"/>
        </w:numPr>
        <w:tabs>
          <w:tab w:val="left" w:pos="360"/>
        </w:tabs>
        <w:ind w:left="630"/>
        <w:jc w:val="both"/>
        <w:rPr>
          <w:rFonts w:ascii="Trebuchet MS" w:hAnsi="Trebuchet MS"/>
          <w:color w:val="0E101A"/>
          <w:sz w:val="28"/>
          <w:szCs w:val="28"/>
        </w:rPr>
      </w:pPr>
      <w:r w:rsidRPr="001E73AD">
        <w:rPr>
          <w:rStyle w:val="Strong"/>
          <w:rFonts w:ascii="Trebuchet MS" w:hAnsi="Trebuchet MS"/>
          <w:color w:val="0E101A"/>
          <w:sz w:val="28"/>
          <w:szCs w:val="28"/>
        </w:rPr>
        <w:t>Continue to educate yourself about the dynamics of a culture that allows this level of violence to occur. </w:t>
      </w:r>
      <w:r w:rsidRPr="001E73AD">
        <w:rPr>
          <w:rFonts w:ascii="Trebuchet MS" w:hAnsi="Trebuchet MS"/>
          <w:color w:val="0E101A"/>
          <w:sz w:val="28"/>
          <w:szCs w:val="28"/>
        </w:rPr>
        <w:t>We all become desensitized to implicit sexism either because we’ve come to accept it as commonplace or because it hasn’t directly impacted us. The same is true for all other forms of oppression. </w:t>
      </w:r>
      <w:r w:rsidRPr="001E73AD">
        <w:rPr>
          <w:rStyle w:val="Strong"/>
          <w:rFonts w:ascii="Trebuchet MS" w:hAnsi="Trebuchet MS"/>
          <w:color w:val="0E101A"/>
          <w:sz w:val="28"/>
          <w:szCs w:val="28"/>
        </w:rPr>
        <w:t>Unlearning attitudes and norms that condone or excuse oppression takes time. Holding ourselves accountable requires commitment. We all have to start somewhere.</w:t>
      </w:r>
    </w:p>
    <w:p w14:paraId="43C44D74" w14:textId="77777777" w:rsidR="001E73AD" w:rsidRDefault="001E73AD" w:rsidP="001E73AD">
      <w:pPr>
        <w:spacing w:after="0" w:line="240" w:lineRule="auto"/>
        <w:ind w:left="720"/>
        <w:rPr>
          <w:rFonts w:ascii="Trebuchet MS" w:hAnsi="Trebuchet MS"/>
          <w:color w:val="0E101A"/>
          <w:sz w:val="28"/>
          <w:szCs w:val="28"/>
        </w:rPr>
      </w:pPr>
    </w:p>
    <w:p w14:paraId="33A1B552" w14:textId="77777777" w:rsidR="001E73AD" w:rsidRDefault="001E73AD" w:rsidP="001E73AD">
      <w:pPr>
        <w:pStyle w:val="ListParagraph"/>
        <w:rPr>
          <w:rFonts w:ascii="Trebuchet MS" w:hAnsi="Trebuchet MS"/>
          <w:color w:val="0E101A"/>
          <w:sz w:val="28"/>
          <w:szCs w:val="28"/>
        </w:rPr>
      </w:pPr>
    </w:p>
    <w:p w14:paraId="5231BCF6" w14:textId="479E971F" w:rsidR="006B67FD" w:rsidRPr="003E4082" w:rsidRDefault="00121068" w:rsidP="00121068">
      <w:pPr>
        <w:jc w:val="right"/>
        <w:rPr>
          <w:rFonts w:ascii="Trebuchet MS" w:hAnsi="Trebuchet MS"/>
          <w:noProof/>
          <w:sz w:val="28"/>
          <w:szCs w:val="28"/>
        </w:rPr>
      </w:pPr>
      <w:r w:rsidRPr="003E4082">
        <w:rPr>
          <w:rFonts w:ascii="Trebuchet MS" w:hAnsi="Trebuchet MS"/>
          <w:noProof/>
          <w:sz w:val="28"/>
          <w:szCs w:val="28"/>
        </w:rPr>
        <mc:AlternateContent>
          <mc:Choice Requires="wps">
            <w:drawing>
              <wp:anchor distT="0" distB="0" distL="114300" distR="114300" simplePos="0" relativeHeight="251659264" behindDoc="0" locked="0" layoutInCell="1" allowOverlap="1" wp14:anchorId="592AF8DD" wp14:editId="609A2BC5">
                <wp:simplePos x="0" y="0"/>
                <wp:positionH relativeFrom="column">
                  <wp:posOffset>2638425</wp:posOffset>
                </wp:positionH>
                <wp:positionV relativeFrom="paragraph">
                  <wp:posOffset>81280</wp:posOffset>
                </wp:positionV>
                <wp:extent cx="3048000" cy="771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48000" cy="771525"/>
                        </a:xfrm>
                        <a:prstGeom prst="rect">
                          <a:avLst/>
                        </a:prstGeom>
                        <a:solidFill>
                          <a:sysClr val="window" lastClr="FFFFFF"/>
                        </a:solidFill>
                        <a:ln w="6350">
                          <a:noFill/>
                        </a:ln>
                        <a:effectLst/>
                      </wps:spPr>
                      <wps:txbx>
                        <w:txbxContent>
                          <w:p w14:paraId="60FAD31B"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14:paraId="1181945E"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Student Union, 4</w:t>
                            </w:r>
                            <w:r w:rsidRPr="009A6026">
                              <w:rPr>
                                <w:rFonts w:ascii="Trebuchet MS" w:hAnsi="Trebuchet MS"/>
                                <w:sz w:val="18"/>
                                <w:szCs w:val="18"/>
                                <w:vertAlign w:val="superscript"/>
                              </w:rPr>
                              <w:t>th</w:t>
                            </w:r>
                            <w:r w:rsidRPr="009A6026">
                              <w:rPr>
                                <w:rFonts w:ascii="Trebuchet MS" w:hAnsi="Trebuchet MS"/>
                                <w:sz w:val="18"/>
                                <w:szCs w:val="18"/>
                              </w:rPr>
                              <w:t xml:space="preserve"> Floor, Room 421</w:t>
                            </w:r>
                          </w:p>
                          <w:p w14:paraId="3325A0A8"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2110 Hillside Rd., Unit 3118, Storrs, CT 06269-3118</w:t>
                            </w:r>
                          </w:p>
                          <w:p w14:paraId="459123F3" w14:textId="77777777" w:rsidR="00121068" w:rsidRDefault="00121068" w:rsidP="00121068">
                            <w:pPr>
                              <w:pStyle w:val="NoSpacing"/>
                              <w:jc w:val="right"/>
                              <w:rPr>
                                <w:rFonts w:ascii="Trebuchet MS" w:hAnsi="Trebuchet MS"/>
                                <w:sz w:val="18"/>
                                <w:szCs w:val="18"/>
                              </w:rPr>
                            </w:pPr>
                            <w:r>
                              <w:rPr>
                                <w:rFonts w:ascii="Trebuchet MS" w:hAnsi="Trebuchet MS"/>
                                <w:sz w:val="18"/>
                                <w:szCs w:val="18"/>
                              </w:rPr>
                              <w:t>Fax: 860-486-1104</w:t>
                            </w:r>
                            <w:r w:rsidRPr="009A6026">
                              <w:rPr>
                                <w:rFonts w:ascii="Trebuchet MS" w:hAnsi="Trebuchet MS"/>
                                <w:sz w:val="18"/>
                                <w:szCs w:val="18"/>
                              </w:rPr>
                              <w:t xml:space="preserve"> </w:t>
                            </w:r>
                          </w:p>
                          <w:p w14:paraId="6C1CEFBA"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Email: womenscenter@uconn.edu</w:t>
                            </w:r>
                          </w:p>
                          <w:p w14:paraId="2D25933B" w14:textId="77777777" w:rsidR="00121068" w:rsidRPr="009A6026" w:rsidRDefault="00121068" w:rsidP="00121068">
                            <w:pPr>
                              <w:pStyle w:val="NoSpacing"/>
                              <w:jc w:val="right"/>
                              <w:rPr>
                                <w:sz w:val="18"/>
                                <w:szCs w:val="18"/>
                              </w:rPr>
                            </w:pPr>
                          </w:p>
                          <w:p w14:paraId="158DFE33" w14:textId="77777777" w:rsidR="00121068" w:rsidRPr="009A6026" w:rsidRDefault="00121068" w:rsidP="00121068">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2AF8DD" id="_x0000_t202" coordsize="21600,21600" o:spt="202" path="m,l,21600r21600,l21600,xe">
                <v:stroke joinstyle="miter"/>
                <v:path gradientshapeok="t" o:connecttype="rect"/>
              </v:shapetype>
              <v:shape id="Text Box 1" o:spid="_x0000_s1026" type="#_x0000_t202" style="position:absolute;left:0;text-align:left;margin-left:207.75pt;margin-top:6.4pt;width:240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" fillcolor="window" stroked="f" strokeweight=".5pt">
                <v:textbox>
                  <w:txbxContent>
                    <w:p w14:paraId="60FAD31B"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14:paraId="1181945E"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Student Union, 4</w:t>
                      </w:r>
                      <w:r w:rsidRPr="009A6026">
                        <w:rPr>
                          <w:rFonts w:ascii="Trebuchet MS" w:hAnsi="Trebuchet MS"/>
                          <w:sz w:val="18"/>
                          <w:szCs w:val="18"/>
                          <w:vertAlign w:val="superscript"/>
                        </w:rPr>
                        <w:t>th</w:t>
                      </w:r>
                      <w:r w:rsidRPr="009A6026">
                        <w:rPr>
                          <w:rFonts w:ascii="Trebuchet MS" w:hAnsi="Trebuchet MS"/>
                          <w:sz w:val="18"/>
                          <w:szCs w:val="18"/>
                        </w:rPr>
                        <w:t xml:space="preserve"> Floor, Room 421</w:t>
                      </w:r>
                    </w:p>
                    <w:p w14:paraId="3325A0A8"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2110 Hillside Rd., Unit 3118, Storrs, CT 06269-3118</w:t>
                      </w:r>
                    </w:p>
                    <w:p w14:paraId="459123F3" w14:textId="77777777" w:rsidR="00121068" w:rsidRDefault="00121068" w:rsidP="00121068">
                      <w:pPr>
                        <w:pStyle w:val="NoSpacing"/>
                        <w:jc w:val="right"/>
                        <w:rPr>
                          <w:rFonts w:ascii="Trebuchet MS" w:hAnsi="Trebuchet MS"/>
                          <w:sz w:val="18"/>
                          <w:szCs w:val="18"/>
                        </w:rPr>
                      </w:pPr>
                      <w:r>
                        <w:rPr>
                          <w:rFonts w:ascii="Trebuchet MS" w:hAnsi="Trebuchet MS"/>
                          <w:sz w:val="18"/>
                          <w:szCs w:val="18"/>
                        </w:rPr>
                        <w:t>Fax: 860-486-1104</w:t>
                      </w:r>
                      <w:r w:rsidRPr="009A6026">
                        <w:rPr>
                          <w:rFonts w:ascii="Trebuchet MS" w:hAnsi="Trebuchet MS"/>
                          <w:sz w:val="18"/>
                          <w:szCs w:val="18"/>
                        </w:rPr>
                        <w:t xml:space="preserve"> </w:t>
                      </w:r>
                    </w:p>
                    <w:p w14:paraId="6C1CEFBA" w14:textId="77777777" w:rsidR="00121068" w:rsidRPr="009A6026" w:rsidRDefault="00121068" w:rsidP="00121068">
                      <w:pPr>
                        <w:pStyle w:val="NoSpacing"/>
                        <w:jc w:val="right"/>
                        <w:rPr>
                          <w:rFonts w:ascii="Trebuchet MS" w:hAnsi="Trebuchet MS"/>
                          <w:sz w:val="18"/>
                          <w:szCs w:val="18"/>
                        </w:rPr>
                      </w:pPr>
                      <w:r w:rsidRPr="009A6026">
                        <w:rPr>
                          <w:rFonts w:ascii="Trebuchet MS" w:hAnsi="Trebuchet MS"/>
                          <w:sz w:val="18"/>
                          <w:szCs w:val="18"/>
                        </w:rPr>
                        <w:t>Email: womenscenter@uconn.edu</w:t>
                      </w:r>
                    </w:p>
                    <w:p w14:paraId="2D25933B" w14:textId="77777777" w:rsidR="00121068" w:rsidRPr="009A6026" w:rsidRDefault="00121068" w:rsidP="00121068">
                      <w:pPr>
                        <w:pStyle w:val="NoSpacing"/>
                        <w:jc w:val="right"/>
                        <w:rPr>
                          <w:sz w:val="18"/>
                          <w:szCs w:val="18"/>
                        </w:rPr>
                      </w:pPr>
                    </w:p>
                    <w:p w14:paraId="158DFE33" w14:textId="77777777" w:rsidR="00121068" w:rsidRPr="009A6026" w:rsidRDefault="00121068" w:rsidP="00121068">
                      <w:pPr>
                        <w:pStyle w:val="NoSpacing"/>
                        <w:jc w:val="right"/>
                      </w:pPr>
                    </w:p>
                  </w:txbxContent>
                </v:textbox>
              </v:shape>
            </w:pict>
          </mc:Fallback>
        </mc:AlternateContent>
      </w:r>
      <w:r w:rsidRPr="003E4082">
        <w:rPr>
          <w:rFonts w:ascii="Trebuchet MS" w:hAnsi="Trebuchet MS"/>
          <w:noProof/>
          <w:sz w:val="28"/>
          <w:szCs w:val="28"/>
        </w:rPr>
        <w:t xml:space="preserve">  </w:t>
      </w:r>
      <w:r w:rsidRPr="003E4082">
        <w:rPr>
          <w:rFonts w:ascii="Trebuchet MS" w:hAnsi="Trebuchet MS"/>
          <w:noProof/>
          <w:sz w:val="28"/>
          <w:szCs w:val="28"/>
        </w:rPr>
        <w:drawing>
          <wp:inline distT="0" distB="0" distL="0" distR="0" wp14:anchorId="158E1D94" wp14:editId="081177A8">
            <wp:extent cx="495300" cy="771524"/>
            <wp:effectExtent l="0" t="0" r="0" b="0"/>
            <wp:docPr id="2" name="Picture 3" descr="R:\Public\logos-WC\WC Logos\WC Bann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R:\Public\logos-WC\WC Logos\WC Bann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561" cy="771931"/>
                    </a:xfrm>
                    <a:prstGeom prst="rect">
                      <a:avLst/>
                    </a:prstGeom>
                    <a:noFill/>
                  </pic:spPr>
                </pic:pic>
              </a:graphicData>
            </a:graphic>
          </wp:inline>
        </w:drawing>
      </w:r>
      <w:r w:rsidRPr="003E4082">
        <w:rPr>
          <w:rFonts w:ascii="Trebuchet MS" w:hAnsi="Trebuchet MS"/>
          <w:noProof/>
          <w:sz w:val="28"/>
          <w:szCs w:val="28"/>
        </w:rPr>
        <w:t xml:space="preserve">   </w:t>
      </w:r>
      <w:r w:rsidRPr="003E4082">
        <w:rPr>
          <w:rFonts w:ascii="Trebuchet MS" w:hAnsi="Trebuchet MS"/>
          <w:noProof/>
          <w:sz w:val="28"/>
          <w:szCs w:val="28"/>
        </w:rPr>
        <w:drawing>
          <wp:inline distT="0" distB="0" distL="0" distR="0" wp14:anchorId="2128270C" wp14:editId="1C6EC7FC">
            <wp:extent cx="504642" cy="771525"/>
            <wp:effectExtent l="0" t="0" r="0" b="0"/>
            <wp:docPr id="3" name="Picture 4" descr="R:\Public\logos-WC\vaw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Public\logos-WC\vawp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71805"/>
                    </a:xfrm>
                    <a:prstGeom prst="rect">
                      <a:avLst/>
                    </a:prstGeom>
                    <a:noFill/>
                  </pic:spPr>
                </pic:pic>
              </a:graphicData>
            </a:graphic>
          </wp:inline>
        </w:drawing>
      </w:r>
    </w:p>
    <w:p w14:paraId="79247A60" w14:textId="77777777" w:rsidR="003E4082" w:rsidRDefault="003E4082">
      <w:pPr>
        <w:spacing w:after="160" w:line="259" w:lineRule="auto"/>
        <w:rPr>
          <w:rFonts w:ascii="Trebuchet MS" w:hAnsi="Trebuchet MS"/>
          <w:b/>
          <w:color w:val="7030A0"/>
          <w:sz w:val="28"/>
          <w:szCs w:val="28"/>
        </w:rPr>
      </w:pPr>
      <w:r>
        <w:rPr>
          <w:rFonts w:ascii="Trebuchet MS" w:hAnsi="Trebuchet MS"/>
          <w:b/>
          <w:color w:val="7030A0"/>
          <w:sz w:val="28"/>
          <w:szCs w:val="28"/>
        </w:rPr>
        <w:br w:type="page"/>
      </w:r>
    </w:p>
    <w:p w14:paraId="4A45E10B" w14:textId="43324E58" w:rsidR="008101BF" w:rsidRPr="003E4082" w:rsidRDefault="008101BF" w:rsidP="008101BF">
      <w:pPr>
        <w:pStyle w:val="NoSpacing"/>
        <w:jc w:val="center"/>
        <w:rPr>
          <w:rFonts w:ascii="Trebuchet MS" w:hAnsi="Trebuchet MS"/>
          <w:b/>
          <w:color w:val="7030A0"/>
          <w:sz w:val="36"/>
          <w:szCs w:val="36"/>
        </w:rPr>
      </w:pPr>
      <w:r w:rsidRPr="003E4082">
        <w:rPr>
          <w:rFonts w:ascii="Trebuchet MS" w:hAnsi="Trebuchet MS"/>
          <w:b/>
          <w:color w:val="7030A0"/>
          <w:sz w:val="36"/>
          <w:szCs w:val="36"/>
        </w:rPr>
        <w:lastRenderedPageBreak/>
        <w:t>How to Support a Friend or Family Member Who Has Experienced Gender-Based Violence</w:t>
      </w:r>
    </w:p>
    <w:p w14:paraId="7BF4516B" w14:textId="77777777" w:rsidR="003E4082" w:rsidRPr="003E4082" w:rsidRDefault="003E4082" w:rsidP="008101BF">
      <w:pPr>
        <w:pStyle w:val="NoSpacing"/>
        <w:jc w:val="center"/>
        <w:rPr>
          <w:rFonts w:ascii="Trebuchet MS" w:hAnsi="Trebuchet MS"/>
          <w:b/>
          <w:color w:val="7030A0"/>
          <w:sz w:val="28"/>
          <w:szCs w:val="28"/>
        </w:rPr>
      </w:pPr>
    </w:p>
    <w:p w14:paraId="75D752B6" w14:textId="77777777" w:rsidR="008101BF" w:rsidRPr="003E4082" w:rsidRDefault="008101BF" w:rsidP="008101BF">
      <w:pPr>
        <w:pStyle w:val="NoSpacing"/>
        <w:jc w:val="center"/>
        <w:rPr>
          <w:rFonts w:ascii="Trebuchet MS" w:hAnsi="Trebuchet MS"/>
          <w:b/>
          <w:sz w:val="28"/>
          <w:szCs w:val="28"/>
        </w:rPr>
      </w:pPr>
    </w:p>
    <w:p w14:paraId="0C46CC86" w14:textId="77777777" w:rsidR="003E4082" w:rsidRPr="003E4082" w:rsidRDefault="003E4082" w:rsidP="003E4082">
      <w:pPr>
        <w:ind w:left="360"/>
        <w:rPr>
          <w:rFonts w:ascii="Trebuchet MS" w:hAnsi="Trebuchet MS"/>
          <w:sz w:val="28"/>
          <w:szCs w:val="28"/>
        </w:rPr>
      </w:pPr>
      <w:r w:rsidRPr="003E4082">
        <w:rPr>
          <w:rFonts w:ascii="Trebuchet MS" w:eastAsiaTheme="minorEastAsia" w:hAnsi="Trebuchet MS"/>
          <w:b/>
          <w:bCs/>
          <w:color w:val="000000" w:themeColor="text1"/>
          <w:kern w:val="24"/>
          <w:sz w:val="28"/>
          <w:szCs w:val="28"/>
        </w:rPr>
        <w:t xml:space="preserve">Listen. </w:t>
      </w:r>
      <w:r w:rsidRPr="003E4082">
        <w:rPr>
          <w:rFonts w:ascii="Trebuchet MS" w:eastAsiaTheme="minorEastAsia" w:hAnsi="Trebuchet MS"/>
          <w:color w:val="000000" w:themeColor="text1"/>
          <w:kern w:val="24"/>
          <w:sz w:val="28"/>
          <w:szCs w:val="28"/>
        </w:rPr>
        <w:t xml:space="preserve">Let your friend or family member control what and how much information they want to share with you. Digging for every detail can overwhelm or alienate them. Many of us are quick to go into “fix it” mode, assuming our friend or family member is looking to us for solutions. Before making this assumption, you might try asking, </w:t>
      </w:r>
      <w:r w:rsidRPr="003E4082">
        <w:rPr>
          <w:rFonts w:ascii="Trebuchet MS" w:eastAsiaTheme="minorEastAsia" w:hAnsi="Trebuchet MS"/>
          <w:i/>
          <w:color w:val="000000" w:themeColor="text1"/>
          <w:kern w:val="24"/>
          <w:sz w:val="28"/>
          <w:szCs w:val="28"/>
        </w:rPr>
        <w:t>“How can I best support you right now?”</w:t>
      </w:r>
      <w:r w:rsidRPr="003E4082">
        <w:rPr>
          <w:rFonts w:ascii="Trebuchet MS" w:eastAsiaTheme="minorEastAsia" w:hAnsi="Trebuchet MS"/>
          <w:color w:val="000000" w:themeColor="text1"/>
          <w:kern w:val="24"/>
          <w:sz w:val="28"/>
          <w:szCs w:val="28"/>
        </w:rPr>
        <w:t xml:space="preserve"> This question centers their needs and allows them to control their healing process. Some people will not know what they need in the moment, it is important to let them know you’re there to listen.     </w:t>
      </w:r>
    </w:p>
    <w:p w14:paraId="1320F0F9" w14:textId="77777777" w:rsidR="003E4082" w:rsidRPr="003E4082" w:rsidRDefault="003E4082" w:rsidP="003E4082">
      <w:pPr>
        <w:pStyle w:val="ListParagraph"/>
        <w:rPr>
          <w:rFonts w:ascii="Trebuchet MS" w:hAnsi="Trebuchet MS"/>
          <w:sz w:val="28"/>
          <w:szCs w:val="28"/>
        </w:rPr>
      </w:pPr>
    </w:p>
    <w:p w14:paraId="71C92E16" w14:textId="77777777" w:rsidR="003E4082" w:rsidRPr="003E4082" w:rsidRDefault="003E4082" w:rsidP="003E4082">
      <w:pPr>
        <w:ind w:left="360"/>
        <w:rPr>
          <w:rFonts w:ascii="Trebuchet MS" w:hAnsi="Trebuchet MS"/>
          <w:sz w:val="28"/>
          <w:szCs w:val="28"/>
        </w:rPr>
      </w:pPr>
      <w:r w:rsidRPr="003E4082">
        <w:rPr>
          <w:rFonts w:ascii="Trebuchet MS" w:eastAsiaTheme="minorEastAsia" w:hAnsi="Trebuchet MS"/>
          <w:b/>
          <w:bCs/>
          <w:color w:val="000000" w:themeColor="text1"/>
          <w:kern w:val="24"/>
          <w:sz w:val="28"/>
          <w:szCs w:val="28"/>
        </w:rPr>
        <w:t xml:space="preserve">Use language that communicates your support </w:t>
      </w:r>
      <w:r w:rsidRPr="003E4082">
        <w:rPr>
          <w:rFonts w:ascii="Trebuchet MS" w:eastAsiaTheme="minorEastAsia" w:hAnsi="Trebuchet MS"/>
          <w:color w:val="000000" w:themeColor="text1"/>
          <w:kern w:val="24"/>
          <w:sz w:val="28"/>
          <w:szCs w:val="28"/>
        </w:rPr>
        <w:t xml:space="preserve">instead of your judgment, frustration or accusations. You might try saying, </w:t>
      </w:r>
      <w:r w:rsidRPr="003E4082">
        <w:rPr>
          <w:rFonts w:ascii="Trebuchet MS" w:eastAsiaTheme="minorEastAsia" w:hAnsi="Trebuchet MS"/>
          <w:i/>
          <w:color w:val="000000" w:themeColor="text1"/>
          <w:kern w:val="24"/>
          <w:sz w:val="28"/>
          <w:szCs w:val="28"/>
        </w:rPr>
        <w:t xml:space="preserve">“I’m worried about you and I would like to help” </w:t>
      </w:r>
      <w:r w:rsidRPr="003E4082">
        <w:rPr>
          <w:rFonts w:ascii="Trebuchet MS" w:eastAsiaTheme="minorEastAsia" w:hAnsi="Trebuchet MS"/>
          <w:color w:val="000000" w:themeColor="text1"/>
          <w:kern w:val="24"/>
          <w:sz w:val="28"/>
          <w:szCs w:val="28"/>
        </w:rPr>
        <w:t xml:space="preserve">instead of </w:t>
      </w:r>
      <w:r w:rsidRPr="003E4082">
        <w:rPr>
          <w:rFonts w:ascii="Trebuchet MS" w:eastAsiaTheme="minorEastAsia" w:hAnsi="Trebuchet MS"/>
          <w:i/>
          <w:color w:val="000000" w:themeColor="text1"/>
          <w:kern w:val="24"/>
          <w:sz w:val="28"/>
          <w:szCs w:val="28"/>
        </w:rPr>
        <w:t>“Why don’t you just leave?”</w:t>
      </w:r>
      <w:r w:rsidRPr="003E4082">
        <w:rPr>
          <w:rFonts w:ascii="Trebuchet MS" w:eastAsiaTheme="minorEastAsia" w:hAnsi="Trebuchet MS"/>
          <w:color w:val="000000" w:themeColor="text1"/>
          <w:kern w:val="24"/>
          <w:sz w:val="28"/>
          <w:szCs w:val="28"/>
        </w:rPr>
        <w:t xml:space="preserve"> or </w:t>
      </w:r>
      <w:r w:rsidRPr="003E4082">
        <w:rPr>
          <w:rFonts w:ascii="Trebuchet MS" w:eastAsiaTheme="minorEastAsia" w:hAnsi="Trebuchet MS"/>
          <w:i/>
          <w:color w:val="000000" w:themeColor="text1"/>
          <w:kern w:val="24"/>
          <w:sz w:val="28"/>
          <w:szCs w:val="28"/>
        </w:rPr>
        <w:t>“I can’t believe you put up with that.”</w:t>
      </w:r>
      <w:r w:rsidRPr="003E4082">
        <w:rPr>
          <w:rFonts w:ascii="Trebuchet MS" w:hAnsi="Trebuchet MS"/>
          <w:sz w:val="28"/>
          <w:szCs w:val="28"/>
        </w:rPr>
        <w:t xml:space="preserve"> Be careful that what you are saying doesn’t infer victim blaming, for example “You have to be more careful.”</w:t>
      </w:r>
    </w:p>
    <w:p w14:paraId="4DF9F395" w14:textId="77777777" w:rsidR="003E4082" w:rsidRPr="003E4082" w:rsidRDefault="003E4082" w:rsidP="003E4082">
      <w:pPr>
        <w:pStyle w:val="ListParagraph"/>
        <w:rPr>
          <w:rFonts w:ascii="Trebuchet MS" w:hAnsi="Trebuchet MS"/>
          <w:b/>
          <w:sz w:val="28"/>
          <w:szCs w:val="28"/>
        </w:rPr>
      </w:pPr>
    </w:p>
    <w:p w14:paraId="3183BE8A" w14:textId="112B5BF1" w:rsidR="003E4082" w:rsidRPr="003E4082" w:rsidRDefault="003E4082" w:rsidP="003E4082">
      <w:pPr>
        <w:ind w:left="360"/>
        <w:rPr>
          <w:rFonts w:ascii="Trebuchet MS" w:hAnsi="Trebuchet MS"/>
          <w:sz w:val="28"/>
          <w:szCs w:val="28"/>
        </w:rPr>
      </w:pPr>
      <w:r w:rsidRPr="003E4082">
        <w:rPr>
          <w:rFonts w:ascii="Trebuchet MS" w:hAnsi="Trebuchet MS"/>
          <w:b/>
          <w:sz w:val="28"/>
          <w:szCs w:val="28"/>
        </w:rPr>
        <w:t>Honor their agency.</w:t>
      </w:r>
      <w:r w:rsidRPr="003E4082">
        <w:rPr>
          <w:rFonts w:ascii="Trebuchet MS" w:hAnsi="Trebuchet MS"/>
          <w:sz w:val="28"/>
          <w:szCs w:val="28"/>
        </w:rPr>
        <w:t xml:space="preserve"> Despite your best intentions, it is never appropriate to tell your friend or family member that they “need” to make a report, seek therapy, tell their parents or anything else you think is in their best interest. When we tell survivors that they “need” to do something, we are taking away their power, just as their assailant/abuser did. This doesn’t mean you can’t offer resources, but it does mean they should be presented as options not recommendations. </w:t>
      </w:r>
    </w:p>
    <w:p w14:paraId="26318103" w14:textId="77777777" w:rsidR="003E4082" w:rsidRPr="003E4082" w:rsidRDefault="003E4082" w:rsidP="003E4082">
      <w:pPr>
        <w:pStyle w:val="ListParagraph"/>
        <w:rPr>
          <w:rFonts w:ascii="Trebuchet MS" w:hAnsi="Trebuchet MS"/>
          <w:sz w:val="28"/>
          <w:szCs w:val="28"/>
        </w:rPr>
      </w:pPr>
    </w:p>
    <w:p w14:paraId="542F1180" w14:textId="2CE5D978" w:rsidR="003E4082" w:rsidRDefault="003E4082" w:rsidP="003E4082">
      <w:pPr>
        <w:ind w:left="360"/>
        <w:rPr>
          <w:rFonts w:ascii="Trebuchet MS" w:hAnsi="Trebuchet MS"/>
          <w:sz w:val="28"/>
          <w:szCs w:val="28"/>
        </w:rPr>
      </w:pPr>
      <w:r w:rsidRPr="003E4082">
        <w:rPr>
          <w:rFonts w:ascii="Trebuchet MS" w:hAnsi="Trebuchet MS"/>
          <w:b/>
          <w:bCs/>
          <w:sz w:val="28"/>
          <w:szCs w:val="28"/>
        </w:rPr>
        <w:t xml:space="preserve">Honor the trust they are putting in you. </w:t>
      </w:r>
      <w:r w:rsidRPr="003E4082">
        <w:rPr>
          <w:rFonts w:ascii="Trebuchet MS" w:hAnsi="Trebuchet MS"/>
          <w:sz w:val="28"/>
          <w:szCs w:val="28"/>
        </w:rPr>
        <w:t>Disclosing a traumatic experience takes a lot of trust. It can be helpful to thank them for confiding in you. You may also want to commend your friend or family member for their resiliency and thank them for confiding in you. If they begin to blame themselves, remind them that the only person who could have prevented the violence from happening is the person who committed the violence. Make sure they know you believe, support, and love them.</w:t>
      </w:r>
    </w:p>
    <w:p w14:paraId="08D48E1D" w14:textId="77777777" w:rsidR="00CB43F2" w:rsidRPr="003E4082" w:rsidRDefault="00CB43F2" w:rsidP="003E4082">
      <w:pPr>
        <w:ind w:left="360"/>
        <w:rPr>
          <w:rFonts w:ascii="Trebuchet MS" w:hAnsi="Trebuchet MS"/>
          <w:sz w:val="28"/>
          <w:szCs w:val="28"/>
        </w:rPr>
      </w:pPr>
    </w:p>
    <w:p w14:paraId="2CBF4B4B" w14:textId="77777777" w:rsidR="003E4082" w:rsidRPr="003E4082" w:rsidRDefault="003E4082" w:rsidP="003E4082">
      <w:pPr>
        <w:pStyle w:val="ListParagraph"/>
        <w:rPr>
          <w:rFonts w:ascii="Trebuchet MS" w:hAnsi="Trebuchet MS"/>
          <w:sz w:val="28"/>
          <w:szCs w:val="28"/>
        </w:rPr>
      </w:pPr>
    </w:p>
    <w:p w14:paraId="57D6DB25" w14:textId="5D5CA6E1" w:rsidR="003E4082" w:rsidRPr="003E4082" w:rsidRDefault="003E4082" w:rsidP="00CB43F2">
      <w:pPr>
        <w:pStyle w:val="NoSpacing"/>
        <w:ind w:left="360"/>
        <w:rPr>
          <w:rFonts w:ascii="Trebuchet MS" w:hAnsi="Trebuchet MS"/>
          <w:sz w:val="28"/>
          <w:szCs w:val="28"/>
        </w:rPr>
      </w:pPr>
      <w:r w:rsidRPr="003E4082">
        <w:rPr>
          <w:rFonts w:ascii="Trebuchet MS" w:hAnsi="Trebuchet MS"/>
          <w:b/>
          <w:sz w:val="28"/>
          <w:szCs w:val="28"/>
        </w:rPr>
        <w:lastRenderedPageBreak/>
        <w:t>Practice self-care.</w:t>
      </w:r>
      <w:r w:rsidRPr="003E4082">
        <w:rPr>
          <w:rFonts w:ascii="Trebuchet MS" w:hAnsi="Trebuchet MS"/>
          <w:sz w:val="28"/>
          <w:szCs w:val="28"/>
        </w:rPr>
        <w:t xml:space="preserve"> Identify your emotional boundaries and acknowledge your limits. You’ll be better able to respond to your friend or family member’s needs, if you’re also taking care of yourself. If you’re feeling frustrated or angry that your friend or family member has stayed with (or returned to) their abuser, seek support from other friends or counselors – while respecting the survivor’s confidentiality - to help you through this.</w:t>
      </w:r>
    </w:p>
    <w:p w14:paraId="528A79DF" w14:textId="77777777" w:rsidR="008101BF" w:rsidRPr="003E4082" w:rsidRDefault="008101BF" w:rsidP="008101BF">
      <w:pPr>
        <w:pStyle w:val="NoSpacing"/>
        <w:tabs>
          <w:tab w:val="left" w:pos="0"/>
        </w:tabs>
        <w:rPr>
          <w:rFonts w:ascii="Trebuchet MS" w:hAnsi="Trebuchet MS"/>
          <w:sz w:val="28"/>
          <w:szCs w:val="28"/>
        </w:rPr>
      </w:pPr>
    </w:p>
    <w:p w14:paraId="257251FB" w14:textId="77777777" w:rsidR="008101BF" w:rsidRPr="003E4082" w:rsidRDefault="008101BF" w:rsidP="008101BF">
      <w:pPr>
        <w:pStyle w:val="NoSpacing"/>
        <w:rPr>
          <w:rFonts w:ascii="Trebuchet MS" w:hAnsi="Trebuchet MS"/>
          <w:b/>
          <w:color w:val="7030A0"/>
          <w:sz w:val="28"/>
          <w:szCs w:val="28"/>
        </w:rPr>
      </w:pPr>
    </w:p>
    <w:p w14:paraId="2DBFD3B1" w14:textId="77777777" w:rsidR="008101BF" w:rsidRPr="003E4082" w:rsidRDefault="008101BF" w:rsidP="008101BF">
      <w:pPr>
        <w:pStyle w:val="NoSpacing"/>
        <w:rPr>
          <w:rFonts w:ascii="Trebuchet MS" w:hAnsi="Trebuchet MS"/>
          <w:b/>
          <w:color w:val="7030A0"/>
          <w:sz w:val="28"/>
          <w:szCs w:val="28"/>
        </w:rPr>
      </w:pPr>
      <w:r w:rsidRPr="003E4082">
        <w:rPr>
          <w:rFonts w:ascii="Trebuchet MS" w:hAnsi="Trebuchet MS"/>
          <w:b/>
          <w:color w:val="7030A0"/>
          <w:sz w:val="28"/>
          <w:szCs w:val="28"/>
        </w:rPr>
        <w:t>Want to get involved?</w:t>
      </w:r>
    </w:p>
    <w:p w14:paraId="3328E80C" w14:textId="77777777" w:rsidR="008101BF" w:rsidRPr="003E4082" w:rsidRDefault="008101BF" w:rsidP="008101BF">
      <w:pPr>
        <w:pStyle w:val="NoSpacing"/>
        <w:numPr>
          <w:ilvl w:val="0"/>
          <w:numId w:val="5"/>
        </w:numPr>
        <w:rPr>
          <w:rFonts w:ascii="Trebuchet MS" w:hAnsi="Trebuchet MS"/>
          <w:b/>
          <w:sz w:val="28"/>
          <w:szCs w:val="28"/>
        </w:rPr>
      </w:pPr>
      <w:r w:rsidRPr="003E4082">
        <w:rPr>
          <w:rFonts w:ascii="Trebuchet MS" w:hAnsi="Trebuchet MS"/>
          <w:b/>
          <w:sz w:val="28"/>
          <w:szCs w:val="28"/>
        </w:rPr>
        <w:t>Interested in becoming a VAWPP Peer Facilitator next fall? You’ll first need to enroll in the one credit pre-requisite course being offered this spring – WGSS 3271 Rape Education &amp; Awareness</w:t>
      </w:r>
    </w:p>
    <w:p w14:paraId="435AD76C" w14:textId="77777777" w:rsidR="008101BF" w:rsidRPr="003E4082" w:rsidRDefault="008101BF" w:rsidP="008101BF">
      <w:pPr>
        <w:pStyle w:val="NoSpacing"/>
        <w:numPr>
          <w:ilvl w:val="0"/>
          <w:numId w:val="5"/>
        </w:numPr>
        <w:rPr>
          <w:rFonts w:ascii="Trebuchet MS" w:hAnsi="Trebuchet MS"/>
          <w:b/>
          <w:sz w:val="28"/>
          <w:szCs w:val="28"/>
        </w:rPr>
      </w:pPr>
      <w:r w:rsidRPr="003E4082">
        <w:rPr>
          <w:rFonts w:ascii="Trebuchet MS" w:hAnsi="Trebuchet MS"/>
          <w:b/>
          <w:sz w:val="28"/>
          <w:szCs w:val="28"/>
        </w:rPr>
        <w:t>Interested in engaging in conversations around masculinity, power and privilege with men on campus? Consider joining Men’s Project. All inquiries should be directed to mensproject@uconn.edu</w:t>
      </w:r>
    </w:p>
    <w:p w14:paraId="0F071384" w14:textId="77777777" w:rsidR="008101BF" w:rsidRPr="003E4082" w:rsidRDefault="008101BF" w:rsidP="008101BF">
      <w:pPr>
        <w:pStyle w:val="NoSpacing"/>
        <w:numPr>
          <w:ilvl w:val="0"/>
          <w:numId w:val="5"/>
        </w:numPr>
        <w:rPr>
          <w:rFonts w:ascii="Trebuchet MS" w:hAnsi="Trebuchet MS"/>
          <w:b/>
          <w:sz w:val="28"/>
          <w:szCs w:val="28"/>
        </w:rPr>
      </w:pPr>
      <w:r w:rsidRPr="003E4082">
        <w:rPr>
          <w:rFonts w:ascii="Trebuchet MS" w:hAnsi="Trebuchet MS"/>
          <w:b/>
          <w:sz w:val="28"/>
          <w:szCs w:val="28"/>
        </w:rPr>
        <w:t>Are you a member of a fraternity or sorority on campus interested in challenging cultural norms that promote gender-based violence? Consider joining Greeks Against Sexual Assault. All inquiries should be directed to gasa@uconn.edu</w:t>
      </w:r>
    </w:p>
    <w:p w14:paraId="1D847B28" w14:textId="77777777" w:rsidR="008101BF" w:rsidRPr="003E4082" w:rsidRDefault="008101BF" w:rsidP="008101BF">
      <w:pPr>
        <w:pStyle w:val="NoSpacing"/>
        <w:numPr>
          <w:ilvl w:val="0"/>
          <w:numId w:val="5"/>
        </w:numPr>
        <w:rPr>
          <w:rFonts w:ascii="Trebuchet MS" w:hAnsi="Trebuchet MS"/>
          <w:b/>
          <w:sz w:val="28"/>
          <w:szCs w:val="28"/>
        </w:rPr>
      </w:pPr>
      <w:r w:rsidRPr="003E4082">
        <w:rPr>
          <w:rFonts w:ascii="Trebuchet MS" w:hAnsi="Trebuchet MS"/>
          <w:b/>
          <w:sz w:val="28"/>
          <w:szCs w:val="28"/>
        </w:rPr>
        <w:t>Access our website – http://womenscenter.uconn.edu/ – to join our mailing list. By subscribing, you will receive a weekly email that includes information about upcoming Women’s Center events, announcements, and national/international news about women</w:t>
      </w:r>
    </w:p>
    <w:p w14:paraId="7E757CF4" w14:textId="77777777" w:rsidR="008101BF" w:rsidRPr="003E4082" w:rsidRDefault="008101BF" w:rsidP="008101BF">
      <w:pPr>
        <w:pStyle w:val="NoSpacing"/>
        <w:jc w:val="both"/>
        <w:rPr>
          <w:rFonts w:ascii="Trebuchet MS" w:hAnsi="Trebuchet MS"/>
          <w:b/>
          <w:color w:val="7030A0"/>
          <w:sz w:val="28"/>
          <w:szCs w:val="28"/>
        </w:rPr>
      </w:pPr>
    </w:p>
    <w:p w14:paraId="7C478B28" w14:textId="77777777" w:rsidR="008101BF" w:rsidRPr="003E4082" w:rsidRDefault="008101BF" w:rsidP="008101BF">
      <w:pPr>
        <w:rPr>
          <w:rFonts w:ascii="Trebuchet MS" w:hAnsi="Trebuchet MS"/>
          <w:sz w:val="28"/>
          <w:szCs w:val="28"/>
        </w:rPr>
      </w:pPr>
    </w:p>
    <w:p w14:paraId="5FB27ABC" w14:textId="77777777" w:rsidR="008101BF" w:rsidRPr="003E4082" w:rsidRDefault="008101BF" w:rsidP="008101BF">
      <w:pPr>
        <w:jc w:val="right"/>
        <w:rPr>
          <w:rFonts w:ascii="Trebuchet MS" w:hAnsi="Trebuchet MS"/>
          <w:sz w:val="28"/>
          <w:szCs w:val="28"/>
        </w:rPr>
      </w:pPr>
      <w:r w:rsidRPr="003E4082">
        <w:rPr>
          <w:rFonts w:ascii="Trebuchet MS" w:hAnsi="Trebuchet MS"/>
          <w:noProof/>
          <w:sz w:val="28"/>
          <w:szCs w:val="28"/>
        </w:rPr>
        <w:drawing>
          <wp:anchor distT="0" distB="0" distL="114300" distR="114300" simplePos="0" relativeHeight="251662336" behindDoc="0" locked="0" layoutInCell="1" allowOverlap="1" wp14:anchorId="5D1B6C37" wp14:editId="001365BB">
            <wp:simplePos x="0" y="0"/>
            <wp:positionH relativeFrom="column">
              <wp:posOffset>145473</wp:posOffset>
            </wp:positionH>
            <wp:positionV relativeFrom="paragraph">
              <wp:posOffset>-65809</wp:posOffset>
            </wp:positionV>
            <wp:extent cx="1717675" cy="9423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675" cy="942340"/>
                    </a:xfrm>
                    <a:prstGeom prst="rect">
                      <a:avLst/>
                    </a:prstGeom>
                    <a:noFill/>
                    <a:ln>
                      <a:noFill/>
                    </a:ln>
                  </pic:spPr>
                </pic:pic>
              </a:graphicData>
            </a:graphic>
          </wp:anchor>
        </w:drawing>
      </w:r>
      <w:r w:rsidRPr="003E4082">
        <w:rPr>
          <w:rFonts w:ascii="Trebuchet MS" w:hAnsi="Trebuchet MS"/>
          <w:noProof/>
          <w:sz w:val="28"/>
          <w:szCs w:val="28"/>
        </w:rPr>
        <w:drawing>
          <wp:inline distT="0" distB="0" distL="0" distR="0" wp14:anchorId="0332720E" wp14:editId="414E42A0">
            <wp:extent cx="504642" cy="771525"/>
            <wp:effectExtent l="0" t="0" r="0" b="0"/>
            <wp:docPr id="4" name="Picture 4" descr="R:\Public\logos-WC\vaw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Public\logos-WC\vawp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642" cy="771525"/>
                    </a:xfrm>
                    <a:prstGeom prst="rect">
                      <a:avLst/>
                    </a:prstGeom>
                    <a:noFill/>
                  </pic:spPr>
                </pic:pic>
              </a:graphicData>
            </a:graphic>
          </wp:inline>
        </w:drawing>
      </w:r>
      <w:r w:rsidRPr="003E4082">
        <w:rPr>
          <w:rFonts w:ascii="Trebuchet MS" w:hAnsi="Trebuchet MS"/>
          <w:sz w:val="28"/>
          <w:szCs w:val="28"/>
        </w:rPr>
        <w:t xml:space="preserve">  </w:t>
      </w:r>
      <w:r w:rsidRPr="003E4082">
        <w:rPr>
          <w:rFonts w:ascii="Trebuchet MS" w:hAnsi="Trebuchet MS"/>
          <w:noProof/>
          <w:sz w:val="28"/>
          <w:szCs w:val="28"/>
        </w:rPr>
        <w:drawing>
          <wp:inline distT="0" distB="0" distL="0" distR="0" wp14:anchorId="725EDCD1" wp14:editId="3C4A2CBF">
            <wp:extent cx="495300" cy="771524"/>
            <wp:effectExtent l="0" t="0" r="0" b="0"/>
            <wp:docPr id="8" name="Picture 8" descr="R:\Public\logos-WC\WC Logos\WC Bann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R:\Public\logos-WC\WC Logos\WC Bann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561" cy="771931"/>
                    </a:xfrm>
                    <a:prstGeom prst="rect">
                      <a:avLst/>
                    </a:prstGeom>
                    <a:noFill/>
                  </pic:spPr>
                </pic:pic>
              </a:graphicData>
            </a:graphic>
          </wp:inline>
        </w:drawing>
      </w:r>
      <w:r w:rsidRPr="003E4082">
        <w:rPr>
          <w:rFonts w:ascii="Trebuchet MS" w:hAnsi="Trebuchet MS"/>
          <w:noProof/>
          <w:sz w:val="28"/>
          <w:szCs w:val="28"/>
        </w:rPr>
        <mc:AlternateContent>
          <mc:Choice Requires="wps">
            <w:drawing>
              <wp:anchor distT="0" distB="0" distL="114300" distR="114300" simplePos="0" relativeHeight="251661312" behindDoc="0" locked="0" layoutInCell="1" allowOverlap="1" wp14:anchorId="04A367BE" wp14:editId="0BCF9B06">
                <wp:simplePos x="0" y="0"/>
                <wp:positionH relativeFrom="column">
                  <wp:posOffset>2314575</wp:posOffset>
                </wp:positionH>
                <wp:positionV relativeFrom="paragraph">
                  <wp:posOffset>5715</wp:posOffset>
                </wp:positionV>
                <wp:extent cx="3048000" cy="771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048000" cy="771525"/>
                        </a:xfrm>
                        <a:prstGeom prst="rect">
                          <a:avLst/>
                        </a:prstGeom>
                        <a:solidFill>
                          <a:sysClr val="window" lastClr="FFFFFF"/>
                        </a:solidFill>
                        <a:ln w="6350">
                          <a:noFill/>
                        </a:ln>
                        <a:effectLst/>
                      </wps:spPr>
                      <wps:txbx>
                        <w:txbxContent>
                          <w:p w14:paraId="5C0CCB2F"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14:paraId="71DB9F73"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Student Union, 4</w:t>
                            </w:r>
                            <w:r w:rsidRPr="009A6026">
                              <w:rPr>
                                <w:rFonts w:ascii="Trebuchet MS" w:hAnsi="Trebuchet MS"/>
                                <w:sz w:val="18"/>
                                <w:szCs w:val="18"/>
                                <w:vertAlign w:val="superscript"/>
                              </w:rPr>
                              <w:t>th</w:t>
                            </w:r>
                            <w:r w:rsidRPr="009A6026">
                              <w:rPr>
                                <w:rFonts w:ascii="Trebuchet MS" w:hAnsi="Trebuchet MS"/>
                                <w:sz w:val="18"/>
                                <w:szCs w:val="18"/>
                              </w:rPr>
                              <w:t xml:space="preserve"> Floor, Room 421</w:t>
                            </w:r>
                          </w:p>
                          <w:p w14:paraId="1180E369"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2110 Hillside Rd., Unit 3118, Storrs, CT 06269-3118</w:t>
                            </w:r>
                          </w:p>
                          <w:p w14:paraId="18A0E486" w14:textId="77777777" w:rsidR="008101BF" w:rsidRDefault="008101BF" w:rsidP="008101BF">
                            <w:pPr>
                              <w:pStyle w:val="NoSpacing"/>
                              <w:jc w:val="right"/>
                              <w:rPr>
                                <w:rFonts w:ascii="Trebuchet MS" w:hAnsi="Trebuchet MS"/>
                                <w:sz w:val="18"/>
                                <w:szCs w:val="18"/>
                              </w:rPr>
                            </w:pPr>
                            <w:r>
                              <w:rPr>
                                <w:rFonts w:ascii="Trebuchet MS" w:hAnsi="Trebuchet MS"/>
                                <w:sz w:val="18"/>
                                <w:szCs w:val="18"/>
                              </w:rPr>
                              <w:t>Fax: 860-486-1104</w:t>
                            </w:r>
                            <w:r w:rsidRPr="009A6026">
                              <w:rPr>
                                <w:rFonts w:ascii="Trebuchet MS" w:hAnsi="Trebuchet MS"/>
                                <w:sz w:val="18"/>
                                <w:szCs w:val="18"/>
                              </w:rPr>
                              <w:t xml:space="preserve"> </w:t>
                            </w:r>
                          </w:p>
                          <w:p w14:paraId="6F6BB70D"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Email: womenscenter@uconn.edu</w:t>
                            </w:r>
                          </w:p>
                          <w:p w14:paraId="125A6DC7" w14:textId="77777777" w:rsidR="008101BF" w:rsidRPr="009A6026" w:rsidRDefault="008101BF" w:rsidP="008101BF">
                            <w:pPr>
                              <w:pStyle w:val="NoSpacing"/>
                              <w:jc w:val="right"/>
                              <w:rPr>
                                <w:sz w:val="18"/>
                                <w:szCs w:val="18"/>
                              </w:rPr>
                            </w:pPr>
                          </w:p>
                          <w:p w14:paraId="32322F1B" w14:textId="77777777" w:rsidR="008101BF" w:rsidRPr="009A6026" w:rsidRDefault="008101BF" w:rsidP="008101BF">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A367BE" id="Text Box 7" o:spid="_x0000_s1027" type="#_x0000_t202" style="position:absolute;left:0;text-align:left;margin-left:182.25pt;margin-top:.45pt;width:240pt;height:6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" fillcolor="window" stroked="f" strokeweight=".5pt">
                <v:textbox>
                  <w:txbxContent>
                    <w:p w14:paraId="5C0CCB2F"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14:paraId="71DB9F73"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Student Union, 4</w:t>
                      </w:r>
                      <w:r w:rsidRPr="009A6026">
                        <w:rPr>
                          <w:rFonts w:ascii="Trebuchet MS" w:hAnsi="Trebuchet MS"/>
                          <w:sz w:val="18"/>
                          <w:szCs w:val="18"/>
                          <w:vertAlign w:val="superscript"/>
                        </w:rPr>
                        <w:t>th</w:t>
                      </w:r>
                      <w:r w:rsidRPr="009A6026">
                        <w:rPr>
                          <w:rFonts w:ascii="Trebuchet MS" w:hAnsi="Trebuchet MS"/>
                          <w:sz w:val="18"/>
                          <w:szCs w:val="18"/>
                        </w:rPr>
                        <w:t xml:space="preserve"> Floor, Room 421</w:t>
                      </w:r>
                    </w:p>
                    <w:p w14:paraId="1180E369"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2110 Hillside Rd., Unit 3118, Storrs, CT 06269-3118</w:t>
                      </w:r>
                    </w:p>
                    <w:p w14:paraId="18A0E486" w14:textId="77777777" w:rsidR="008101BF" w:rsidRDefault="008101BF" w:rsidP="008101BF">
                      <w:pPr>
                        <w:pStyle w:val="NoSpacing"/>
                        <w:jc w:val="right"/>
                        <w:rPr>
                          <w:rFonts w:ascii="Trebuchet MS" w:hAnsi="Trebuchet MS"/>
                          <w:sz w:val="18"/>
                          <w:szCs w:val="18"/>
                        </w:rPr>
                      </w:pPr>
                      <w:r>
                        <w:rPr>
                          <w:rFonts w:ascii="Trebuchet MS" w:hAnsi="Trebuchet MS"/>
                          <w:sz w:val="18"/>
                          <w:szCs w:val="18"/>
                        </w:rPr>
                        <w:t>Fax: 860-486-1104</w:t>
                      </w:r>
                      <w:r w:rsidRPr="009A6026">
                        <w:rPr>
                          <w:rFonts w:ascii="Trebuchet MS" w:hAnsi="Trebuchet MS"/>
                          <w:sz w:val="18"/>
                          <w:szCs w:val="18"/>
                        </w:rPr>
                        <w:t xml:space="preserve"> </w:t>
                      </w:r>
                    </w:p>
                    <w:p w14:paraId="6F6BB70D" w14:textId="77777777" w:rsidR="008101BF" w:rsidRPr="009A6026" w:rsidRDefault="008101BF" w:rsidP="008101BF">
                      <w:pPr>
                        <w:pStyle w:val="NoSpacing"/>
                        <w:jc w:val="right"/>
                        <w:rPr>
                          <w:rFonts w:ascii="Trebuchet MS" w:hAnsi="Trebuchet MS"/>
                          <w:sz w:val="18"/>
                          <w:szCs w:val="18"/>
                        </w:rPr>
                      </w:pPr>
                      <w:r w:rsidRPr="009A6026">
                        <w:rPr>
                          <w:rFonts w:ascii="Trebuchet MS" w:hAnsi="Trebuchet MS"/>
                          <w:sz w:val="18"/>
                          <w:szCs w:val="18"/>
                        </w:rPr>
                        <w:t>Email: womenscenter@uconn.edu</w:t>
                      </w:r>
                    </w:p>
                    <w:p w14:paraId="125A6DC7" w14:textId="77777777" w:rsidR="008101BF" w:rsidRPr="009A6026" w:rsidRDefault="008101BF" w:rsidP="008101BF">
                      <w:pPr>
                        <w:pStyle w:val="NoSpacing"/>
                        <w:jc w:val="right"/>
                        <w:rPr>
                          <w:sz w:val="18"/>
                          <w:szCs w:val="18"/>
                        </w:rPr>
                      </w:pPr>
                    </w:p>
                    <w:p w14:paraId="32322F1B" w14:textId="77777777" w:rsidR="008101BF" w:rsidRPr="009A6026" w:rsidRDefault="008101BF" w:rsidP="008101BF">
                      <w:pPr>
                        <w:pStyle w:val="NoSpacing"/>
                        <w:jc w:val="right"/>
                      </w:pPr>
                    </w:p>
                  </w:txbxContent>
                </v:textbox>
              </v:shape>
            </w:pict>
          </mc:Fallback>
        </mc:AlternateContent>
      </w:r>
    </w:p>
    <w:p w14:paraId="13631CB2" w14:textId="77777777" w:rsidR="008101BF" w:rsidRPr="003E4082" w:rsidRDefault="008101BF" w:rsidP="008101BF">
      <w:pPr>
        <w:pStyle w:val="NoSpacing"/>
        <w:jc w:val="center"/>
        <w:rPr>
          <w:rFonts w:ascii="Trebuchet MS" w:hAnsi="Trebuchet MS"/>
          <w:sz w:val="28"/>
          <w:szCs w:val="28"/>
        </w:rPr>
      </w:pPr>
    </w:p>
    <w:sectPr w:rsidR="008101BF" w:rsidRPr="003E4082" w:rsidSect="00000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7B8"/>
    <w:multiLevelType w:val="hybridMultilevel"/>
    <w:tmpl w:val="ECC60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C4FFC"/>
    <w:multiLevelType w:val="hybridMultilevel"/>
    <w:tmpl w:val="1FCE6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5121"/>
    <w:multiLevelType w:val="hybridMultilevel"/>
    <w:tmpl w:val="9D16CF2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65415"/>
    <w:multiLevelType w:val="multilevel"/>
    <w:tmpl w:val="DD301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D32BD"/>
    <w:multiLevelType w:val="hybridMultilevel"/>
    <w:tmpl w:val="EB6E7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64A00"/>
    <w:multiLevelType w:val="multilevel"/>
    <w:tmpl w:val="3AB2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379B0"/>
    <w:multiLevelType w:val="multilevel"/>
    <w:tmpl w:val="4E8C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624C4"/>
    <w:multiLevelType w:val="multilevel"/>
    <w:tmpl w:val="631A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67E99"/>
    <w:multiLevelType w:val="multilevel"/>
    <w:tmpl w:val="FCC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33742"/>
    <w:multiLevelType w:val="multilevel"/>
    <w:tmpl w:val="3F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D45DD"/>
    <w:multiLevelType w:val="multilevel"/>
    <w:tmpl w:val="CB58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897E02"/>
    <w:multiLevelType w:val="hybridMultilevel"/>
    <w:tmpl w:val="BAE6805E"/>
    <w:lvl w:ilvl="0" w:tplc="34A041EC">
      <w:start w:val="1"/>
      <w:numFmt w:val="bullet"/>
      <w:lvlText w:val="•"/>
      <w:lvlJc w:val="left"/>
      <w:pPr>
        <w:tabs>
          <w:tab w:val="num" w:pos="720"/>
        </w:tabs>
        <w:ind w:left="720" w:hanging="360"/>
      </w:pPr>
      <w:rPr>
        <w:rFonts w:ascii="Arial" w:hAnsi="Arial" w:hint="default"/>
      </w:rPr>
    </w:lvl>
    <w:lvl w:ilvl="1" w:tplc="63A889EC" w:tentative="1">
      <w:start w:val="1"/>
      <w:numFmt w:val="bullet"/>
      <w:lvlText w:val="•"/>
      <w:lvlJc w:val="left"/>
      <w:pPr>
        <w:tabs>
          <w:tab w:val="num" w:pos="1440"/>
        </w:tabs>
        <w:ind w:left="1440" w:hanging="360"/>
      </w:pPr>
      <w:rPr>
        <w:rFonts w:ascii="Arial" w:hAnsi="Arial" w:hint="default"/>
      </w:rPr>
    </w:lvl>
    <w:lvl w:ilvl="2" w:tplc="AA6696AA" w:tentative="1">
      <w:start w:val="1"/>
      <w:numFmt w:val="bullet"/>
      <w:lvlText w:val="•"/>
      <w:lvlJc w:val="left"/>
      <w:pPr>
        <w:tabs>
          <w:tab w:val="num" w:pos="2160"/>
        </w:tabs>
        <w:ind w:left="2160" w:hanging="360"/>
      </w:pPr>
      <w:rPr>
        <w:rFonts w:ascii="Arial" w:hAnsi="Arial" w:hint="default"/>
      </w:rPr>
    </w:lvl>
    <w:lvl w:ilvl="3" w:tplc="87DC64B6" w:tentative="1">
      <w:start w:val="1"/>
      <w:numFmt w:val="bullet"/>
      <w:lvlText w:val="•"/>
      <w:lvlJc w:val="left"/>
      <w:pPr>
        <w:tabs>
          <w:tab w:val="num" w:pos="2880"/>
        </w:tabs>
        <w:ind w:left="2880" w:hanging="360"/>
      </w:pPr>
      <w:rPr>
        <w:rFonts w:ascii="Arial" w:hAnsi="Arial" w:hint="default"/>
      </w:rPr>
    </w:lvl>
    <w:lvl w:ilvl="4" w:tplc="0CC069E8" w:tentative="1">
      <w:start w:val="1"/>
      <w:numFmt w:val="bullet"/>
      <w:lvlText w:val="•"/>
      <w:lvlJc w:val="left"/>
      <w:pPr>
        <w:tabs>
          <w:tab w:val="num" w:pos="3600"/>
        </w:tabs>
        <w:ind w:left="3600" w:hanging="360"/>
      </w:pPr>
      <w:rPr>
        <w:rFonts w:ascii="Arial" w:hAnsi="Arial" w:hint="default"/>
      </w:rPr>
    </w:lvl>
    <w:lvl w:ilvl="5" w:tplc="4B1CC26C" w:tentative="1">
      <w:start w:val="1"/>
      <w:numFmt w:val="bullet"/>
      <w:lvlText w:val="•"/>
      <w:lvlJc w:val="left"/>
      <w:pPr>
        <w:tabs>
          <w:tab w:val="num" w:pos="4320"/>
        </w:tabs>
        <w:ind w:left="4320" w:hanging="360"/>
      </w:pPr>
      <w:rPr>
        <w:rFonts w:ascii="Arial" w:hAnsi="Arial" w:hint="default"/>
      </w:rPr>
    </w:lvl>
    <w:lvl w:ilvl="6" w:tplc="64268BCC" w:tentative="1">
      <w:start w:val="1"/>
      <w:numFmt w:val="bullet"/>
      <w:lvlText w:val="•"/>
      <w:lvlJc w:val="left"/>
      <w:pPr>
        <w:tabs>
          <w:tab w:val="num" w:pos="5040"/>
        </w:tabs>
        <w:ind w:left="5040" w:hanging="360"/>
      </w:pPr>
      <w:rPr>
        <w:rFonts w:ascii="Arial" w:hAnsi="Arial" w:hint="default"/>
      </w:rPr>
    </w:lvl>
    <w:lvl w:ilvl="7" w:tplc="824C3408" w:tentative="1">
      <w:start w:val="1"/>
      <w:numFmt w:val="bullet"/>
      <w:lvlText w:val="•"/>
      <w:lvlJc w:val="left"/>
      <w:pPr>
        <w:tabs>
          <w:tab w:val="num" w:pos="5760"/>
        </w:tabs>
        <w:ind w:left="5760" w:hanging="360"/>
      </w:pPr>
      <w:rPr>
        <w:rFonts w:ascii="Arial" w:hAnsi="Arial" w:hint="default"/>
      </w:rPr>
    </w:lvl>
    <w:lvl w:ilvl="8" w:tplc="69461F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450AAB"/>
    <w:multiLevelType w:val="multilevel"/>
    <w:tmpl w:val="0A3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D35EDE"/>
    <w:multiLevelType w:val="hybridMultilevel"/>
    <w:tmpl w:val="549C526C"/>
    <w:lvl w:ilvl="0" w:tplc="8C8C4E0E">
      <w:start w:val="1"/>
      <w:numFmt w:val="decimal"/>
      <w:lvlText w:val="%1.)"/>
      <w:lvlJc w:val="left"/>
      <w:pPr>
        <w:ind w:left="720" w:hanging="360"/>
      </w:pPr>
      <w:rPr>
        <w:rFonts w:eastAsiaTheme="minorEastAsia" w:cstheme="minorBidi" w:hint="default"/>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60C5D"/>
    <w:multiLevelType w:val="hybridMultilevel"/>
    <w:tmpl w:val="07A6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500A2"/>
    <w:multiLevelType w:val="multilevel"/>
    <w:tmpl w:val="026E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B9139A"/>
    <w:multiLevelType w:val="multilevel"/>
    <w:tmpl w:val="4452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D7475C"/>
    <w:multiLevelType w:val="multilevel"/>
    <w:tmpl w:val="971EF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3C07CD"/>
    <w:multiLevelType w:val="hybridMultilevel"/>
    <w:tmpl w:val="C522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392788">
    <w:abstractNumId w:val="13"/>
  </w:num>
  <w:num w:numId="2" w16cid:durableId="1926449386">
    <w:abstractNumId w:val="1"/>
  </w:num>
  <w:num w:numId="3" w16cid:durableId="1680888896">
    <w:abstractNumId w:val="11"/>
  </w:num>
  <w:num w:numId="4" w16cid:durableId="1718044527">
    <w:abstractNumId w:val="14"/>
  </w:num>
  <w:num w:numId="5" w16cid:durableId="1382680192">
    <w:abstractNumId w:val="18"/>
  </w:num>
  <w:num w:numId="6" w16cid:durableId="2128041050">
    <w:abstractNumId w:val="6"/>
  </w:num>
  <w:num w:numId="7" w16cid:durableId="1106733328">
    <w:abstractNumId w:val="3"/>
    <w:lvlOverride w:ilvl="0"/>
  </w:num>
  <w:num w:numId="8" w16cid:durableId="313802999">
    <w:abstractNumId w:val="17"/>
  </w:num>
  <w:num w:numId="9" w16cid:durableId="194273233">
    <w:abstractNumId w:val="10"/>
  </w:num>
  <w:num w:numId="10" w16cid:durableId="579798866">
    <w:abstractNumId w:val="12"/>
  </w:num>
  <w:num w:numId="11" w16cid:durableId="2079283648">
    <w:abstractNumId w:val="7"/>
  </w:num>
  <w:num w:numId="12" w16cid:durableId="1612056791">
    <w:abstractNumId w:val="5"/>
  </w:num>
  <w:num w:numId="13" w16cid:durableId="1155486321">
    <w:abstractNumId w:val="16"/>
  </w:num>
  <w:num w:numId="14" w16cid:durableId="45837405">
    <w:abstractNumId w:val="8"/>
  </w:num>
  <w:num w:numId="15" w16cid:durableId="86582114">
    <w:abstractNumId w:val="9"/>
  </w:num>
  <w:num w:numId="16" w16cid:durableId="264534013">
    <w:abstractNumId w:val="15"/>
  </w:num>
  <w:num w:numId="17" w16cid:durableId="728118395">
    <w:abstractNumId w:val="4"/>
  </w:num>
  <w:num w:numId="18" w16cid:durableId="423692022">
    <w:abstractNumId w:val="2"/>
  </w:num>
  <w:num w:numId="19" w16cid:durableId="97252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68"/>
    <w:rsid w:val="00103A8D"/>
    <w:rsid w:val="00121068"/>
    <w:rsid w:val="001B7BCC"/>
    <w:rsid w:val="001E73AD"/>
    <w:rsid w:val="003E4082"/>
    <w:rsid w:val="00436008"/>
    <w:rsid w:val="005337CE"/>
    <w:rsid w:val="00644EFB"/>
    <w:rsid w:val="0071008D"/>
    <w:rsid w:val="007B2BBC"/>
    <w:rsid w:val="008101BF"/>
    <w:rsid w:val="00822044"/>
    <w:rsid w:val="00A21AB1"/>
    <w:rsid w:val="00A54EE8"/>
    <w:rsid w:val="00B67D74"/>
    <w:rsid w:val="00BF56AA"/>
    <w:rsid w:val="00C87380"/>
    <w:rsid w:val="00CB43F2"/>
    <w:rsid w:val="00DF5E86"/>
    <w:rsid w:val="00E7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8570"/>
  <w15:chartTrackingRefBased/>
  <w15:docId w15:val="{F2AF0FBA-5F13-4584-988C-7DFBC030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068"/>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21068"/>
    <w:pPr>
      <w:spacing w:after="0" w:line="240" w:lineRule="auto"/>
    </w:pPr>
  </w:style>
  <w:style w:type="paragraph" w:styleId="BalloonText">
    <w:name w:val="Balloon Text"/>
    <w:basedOn w:val="Normal"/>
    <w:link w:val="BalloonTextChar"/>
    <w:uiPriority w:val="99"/>
    <w:semiHidden/>
    <w:unhideWhenUsed/>
    <w:rsid w:val="00A21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B1"/>
    <w:rPr>
      <w:rFonts w:ascii="Segoe UI" w:hAnsi="Segoe UI" w:cs="Segoe UI"/>
      <w:sz w:val="18"/>
      <w:szCs w:val="18"/>
    </w:rPr>
  </w:style>
  <w:style w:type="character" w:styleId="Strong">
    <w:name w:val="Strong"/>
    <w:basedOn w:val="DefaultParagraphFont"/>
    <w:uiPriority w:val="22"/>
    <w:qFormat/>
    <w:rsid w:val="00BF56AA"/>
    <w:rPr>
      <w:b/>
      <w:bCs/>
    </w:rPr>
  </w:style>
  <w:style w:type="paragraph" w:customStyle="1" w:styleId="ql-indent-1">
    <w:name w:val="ql-indent-1"/>
    <w:basedOn w:val="Normal"/>
    <w:rsid w:val="00BF56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56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Donais, Lauren</dc:creator>
  <cp:keywords/>
  <dc:description/>
  <cp:lastModifiedBy>Delacruz, Elise</cp:lastModifiedBy>
  <cp:revision>5</cp:revision>
  <cp:lastPrinted>2016-08-23T17:36:00Z</cp:lastPrinted>
  <dcterms:created xsi:type="dcterms:W3CDTF">2022-07-28T20:49:00Z</dcterms:created>
  <dcterms:modified xsi:type="dcterms:W3CDTF">2022-08-23T13:49:00Z</dcterms:modified>
</cp:coreProperties>
</file>